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drawing>
          <wp:anchor behindDoc="0" distT="0" distB="0" distL="0" distR="0" simplePos="0" locked="0" layoutInCell="0" allowOverlap="1" relativeHeight="2">
            <wp:simplePos x="0" y="0"/>
            <wp:positionH relativeFrom="column">
              <wp:posOffset>819150</wp:posOffset>
            </wp:positionH>
            <wp:positionV relativeFrom="paragraph">
              <wp:posOffset>104775</wp:posOffset>
            </wp:positionV>
            <wp:extent cx="1106170" cy="428625"/>
            <wp:effectExtent l="0" t="0" r="0" b="0"/>
            <wp:wrapNone/>
            <wp:docPr id="1" name="Pictur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 2"/>
                    <pic:cNvPicPr>
                      <a:picLocks noChangeAspect="1" noChangeArrowheads="1"/>
                    </pic:cNvPicPr>
                  </pic:nvPicPr>
                  <pic:blipFill>
                    <a:blip r:embed="rId2"/>
                    <a:stretch>
                      <a:fillRect/>
                    </a:stretch>
                  </pic:blipFill>
                  <pic:spPr bwMode="auto">
                    <a:xfrm>
                      <a:off x="0" y="0"/>
                      <a:ext cx="1106170" cy="428625"/>
                    </a:xfrm>
                    <a:prstGeom prst="rect">
                      <a:avLst/>
                    </a:prstGeom>
                  </pic:spPr>
                </pic:pic>
              </a:graphicData>
            </a:graphic>
          </wp:anchor>
        </w:drawing>
        <w:drawing>
          <wp:anchor behindDoc="1" distT="0" distB="0" distL="0" distR="0" simplePos="0" locked="0" layoutInCell="0" allowOverlap="1" relativeHeight="3">
            <wp:simplePos x="0" y="0"/>
            <wp:positionH relativeFrom="column">
              <wp:posOffset>0</wp:posOffset>
            </wp:positionH>
            <wp:positionV relativeFrom="paragraph">
              <wp:posOffset>635</wp:posOffset>
            </wp:positionV>
            <wp:extent cx="733425" cy="1456690"/>
            <wp:effectExtent l="0" t="0" r="0" b="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pic:cNvPicPr>
                      <a:picLocks noChangeAspect="1" noChangeArrowheads="1"/>
                    </pic:cNvPicPr>
                  </pic:nvPicPr>
                  <pic:blipFill>
                    <a:blip r:embed="rId3"/>
                    <a:stretch>
                      <a:fillRect/>
                    </a:stretch>
                  </pic:blipFill>
                  <pic:spPr bwMode="auto">
                    <a:xfrm>
                      <a:off x="0" y="0"/>
                      <a:ext cx="733425" cy="1456690"/>
                    </a:xfrm>
                    <a:prstGeom prst="rect">
                      <a:avLst/>
                    </a:prstGeom>
                  </pic:spPr>
                </pic:pic>
              </a:graphicData>
            </a:graphic>
          </wp:anchor>
        </w:drawing>
      </w:r>
    </w:p>
    <w:p>
      <w:pPr>
        <w:pStyle w:val="Normal"/>
        <w:rPr/>
      </w:pPr>
      <w:r>
        <w:rPr/>
      </w:r>
    </w:p>
    <w:p>
      <w:pPr>
        <w:pStyle w:val="Normal"/>
        <w:rPr/>
      </w:pPr>
      <w:r>
        <w:rPr/>
      </w:r>
    </w:p>
    <w:p>
      <w:pPr>
        <w:pStyle w:val="Normal"/>
        <w:rPr>
          <w:rFonts w:ascii="Calibri" w:hAnsi="Calibri"/>
          <w:sz w:val="16"/>
          <w:szCs w:val="16"/>
        </w:rPr>
      </w:pPr>
      <w:r>
        <w:rPr/>
        <w:t xml:space="preserve">                        </w:t>
      </w:r>
      <w:r>
        <w:rPr>
          <w:rFonts w:ascii="Calibri" w:hAnsi="Calibri"/>
          <w:sz w:val="16"/>
          <w:szCs w:val="16"/>
        </w:rPr>
        <w:t>Strossmayerova 3, HR-20000 Dubrovnik</w:t>
      </w:r>
    </w:p>
    <w:p>
      <w:pPr>
        <w:pStyle w:val="Normal"/>
        <w:rPr>
          <w:rFonts w:ascii="Calibri" w:hAnsi="Calibri"/>
          <w:sz w:val="16"/>
          <w:szCs w:val="16"/>
        </w:rPr>
      </w:pPr>
      <w:r>
        <w:rPr>
          <w:rFonts w:ascii="Calibri" w:hAnsi="Calibri"/>
          <w:sz w:val="16"/>
          <w:szCs w:val="16"/>
        </w:rPr>
        <w:t xml:space="preserve">                                   </w:t>
      </w:r>
      <w:r>
        <w:rPr>
          <w:rFonts w:ascii="Calibri" w:hAnsi="Calibri"/>
          <w:sz w:val="16"/>
          <w:szCs w:val="16"/>
        </w:rPr>
        <w:t>tel: 020 324 636, 020 324 642</w:t>
      </w:r>
    </w:p>
    <w:p>
      <w:pPr>
        <w:pStyle w:val="Normal"/>
        <w:rPr>
          <w:rFonts w:ascii="Calibri" w:hAnsi="Calibri"/>
          <w:sz w:val="16"/>
          <w:szCs w:val="16"/>
        </w:rPr>
      </w:pPr>
      <w:r>
        <w:rPr>
          <w:rFonts w:ascii="Calibri" w:hAnsi="Calibri"/>
          <w:sz w:val="16"/>
          <w:szCs w:val="16"/>
        </w:rPr>
      </w:r>
    </w:p>
    <w:p>
      <w:pPr>
        <w:pStyle w:val="Normal"/>
        <w:rPr>
          <w:rFonts w:ascii="Calibri" w:hAnsi="Calibri"/>
          <w:sz w:val="20"/>
          <w:szCs w:val="20"/>
        </w:rPr>
      </w:pPr>
      <w:r>
        <w:rPr>
          <w:rFonts w:ascii="Calibri" w:hAnsi="Calibri"/>
          <w:sz w:val="16"/>
          <w:szCs w:val="16"/>
        </w:rPr>
        <w:t xml:space="preserve">                                  </w:t>
      </w:r>
      <w:r>
        <w:rPr>
          <w:rFonts w:ascii="Calibri" w:hAnsi="Calibri"/>
          <w:sz w:val="16"/>
          <w:szCs w:val="16"/>
        </w:rPr>
        <w:t xml:space="preserve">e-mail: </w:t>
      </w:r>
      <w:hyperlink r:id="rId4">
        <w:r>
          <w:rPr>
            <w:rStyle w:val="InternetLink"/>
            <w:rFonts w:ascii="Calibri" w:hAnsi="Calibri"/>
            <w:sz w:val="16"/>
            <w:szCs w:val="16"/>
          </w:rPr>
          <w:t>umjetnicka.skola.luke.sorkocevica@du.t-com.hr</w:t>
        </w:r>
      </w:hyperlink>
    </w:p>
    <w:p>
      <w:pPr>
        <w:pStyle w:val="Normal"/>
        <w:rPr>
          <w:rStyle w:val="InternetLink"/>
          <w:sz w:val="16"/>
          <w:szCs w:val="16"/>
        </w:rPr>
      </w:pPr>
      <w:r>
        <w:rPr>
          <w:rFonts w:ascii="Calibri" w:hAnsi="Calibri"/>
          <w:sz w:val="16"/>
          <w:szCs w:val="16"/>
        </w:rPr>
        <w:t xml:space="preserve">                                  </w:t>
      </w:r>
      <w:r>
        <w:rPr>
          <w:rFonts w:ascii="Calibri" w:hAnsi="Calibri"/>
          <w:sz w:val="16"/>
          <w:szCs w:val="16"/>
        </w:rPr>
        <w:t>web adresa:</w:t>
      </w:r>
      <w:r>
        <w:rPr>
          <w:rFonts w:ascii="Calibri" w:hAnsi="Calibri"/>
          <w:sz w:val="20"/>
          <w:szCs w:val="20"/>
        </w:rPr>
        <w:t xml:space="preserve"> </w:t>
      </w:r>
      <w:hyperlink r:id="rId5">
        <w:r>
          <w:rPr>
            <w:rStyle w:val="InternetLink"/>
            <w:rFonts w:ascii="Calibri" w:hAnsi="Calibri"/>
            <w:sz w:val="16"/>
            <w:szCs w:val="16"/>
          </w:rPr>
          <w:t>www.usls.hr</w:t>
        </w:r>
      </w:hyperlink>
    </w:p>
    <w:p>
      <w:pPr>
        <w:pStyle w:val="Normal"/>
        <w:rPr>
          <w:rStyle w:val="InternetLink"/>
          <w:rFonts w:ascii="Calibri" w:hAnsi="Calibri"/>
          <w:sz w:val="16"/>
          <w:szCs w:val="16"/>
          <w:u w:val="none"/>
        </w:rPr>
      </w:pPr>
      <w:r>
        <w:rPr>
          <w:rStyle w:val="InternetLink"/>
          <w:rFonts w:ascii="Calibri" w:hAnsi="Calibri"/>
          <w:color w:val="000000" w:themeColor="text1"/>
          <w:sz w:val="16"/>
          <w:szCs w:val="16"/>
          <w:u w:val="none"/>
        </w:rPr>
        <w:t xml:space="preserve">                                  </w:t>
      </w:r>
      <w:r>
        <w:rPr>
          <w:rStyle w:val="InternetLink"/>
          <w:rFonts w:ascii="Calibri" w:hAnsi="Calibri"/>
          <w:color w:val="000000" w:themeColor="text1"/>
          <w:sz w:val="16"/>
          <w:szCs w:val="16"/>
          <w:u w:val="none"/>
        </w:rPr>
        <w:t xml:space="preserve">IBAN: </w:t>
      </w:r>
      <w:r>
        <w:rPr>
          <w:rStyle w:val="InternetLink"/>
          <w:rFonts w:ascii="Calibri" w:hAnsi="Calibri"/>
          <w:sz w:val="16"/>
          <w:szCs w:val="16"/>
          <w:u w:val="none"/>
        </w:rPr>
        <w:t>HR1524070001100019747</w:t>
      </w:r>
    </w:p>
    <w:p>
      <w:pPr>
        <w:pStyle w:val="Normal"/>
        <w:rPr>
          <w:rStyle w:val="InternetLink"/>
          <w:rFonts w:ascii="Calibri" w:hAnsi="Calibri"/>
          <w:color w:val="000000" w:themeColor="text1"/>
          <w:sz w:val="16"/>
          <w:szCs w:val="16"/>
          <w:u w:val="none"/>
        </w:rPr>
      </w:pPr>
      <w:r>
        <w:rPr>
          <w:rStyle w:val="InternetLink"/>
          <w:rFonts w:ascii="Calibri" w:hAnsi="Calibri"/>
          <w:sz w:val="16"/>
          <w:szCs w:val="16"/>
          <w:u w:val="none"/>
        </w:rPr>
        <w:t xml:space="preserve">                                  </w:t>
      </w:r>
    </w:p>
    <w:p>
      <w:pPr>
        <w:pStyle w:val="Normal"/>
        <w:rPr>
          <w:rStyle w:val="InternetLink"/>
          <w:rFonts w:ascii="Calibri" w:hAnsi="Calibri"/>
          <w:color w:val="000000" w:themeColor="text1"/>
          <w:sz w:val="16"/>
          <w:szCs w:val="16"/>
          <w:u w:val="none"/>
        </w:rPr>
      </w:pPr>
      <w:r>
        <w:rPr>
          <w:rStyle w:val="InternetLink"/>
          <w:rFonts w:ascii="Calibri" w:hAnsi="Calibri"/>
          <w:color w:val="000000" w:themeColor="text1"/>
          <w:sz w:val="16"/>
          <w:szCs w:val="16"/>
          <w:u w:val="none"/>
        </w:rPr>
        <w:t xml:space="preserve">                                  </w:t>
      </w:r>
    </w:p>
    <w:p>
      <w:pPr>
        <w:pStyle w:val="Normal"/>
        <w:rPr>
          <w:rStyle w:val="InternetLink"/>
          <w:rFonts w:ascii="Calibri" w:hAnsi="Calibri"/>
          <w:color w:val="000000" w:themeColor="text1"/>
          <w:sz w:val="16"/>
          <w:szCs w:val="16"/>
          <w:u w:val="none"/>
        </w:rPr>
      </w:pPr>
      <w:r>
        <w:rPr>
          <w:rFonts w:ascii="Calibri" w:hAnsi="Calibri"/>
          <w:color w:val="000000" w:themeColor="text1"/>
          <w:sz w:val="16"/>
          <w:szCs w:val="16"/>
          <w:u w:val="none"/>
        </w:rPr>
      </w:r>
    </w:p>
    <w:p>
      <w:pPr>
        <w:pStyle w:val="Normal"/>
        <w:rPr/>
      </w:pPr>
      <w:r>
        <w:rPr>
          <w:rStyle w:val="InternetLink"/>
          <w:color w:val="000000" w:themeColor="text1"/>
          <w:sz w:val="24"/>
          <w:szCs w:val="24"/>
          <w:u w:val="none"/>
        </w:rPr>
        <w:t>Na temelju članka 10. Zakona o pravu na pristup informacijama, Umjetnička škola Luke Sorkočevića, Strossmayerova 3 ( udaljnjem tekstu Škola), objavljuje:</w:t>
      </w:r>
    </w:p>
    <w:p>
      <w:pPr>
        <w:pStyle w:val="Normal"/>
        <w:rPr>
          <w:rFonts w:ascii="Cambria" w:hAnsi="Cambria"/>
          <w:color w:val="000000" w:themeColor="text1"/>
          <w:sz w:val="24"/>
          <w:szCs w:val="24"/>
          <w:u w:val="none"/>
        </w:rPr>
      </w:pPr>
      <w:r>
        <w:rPr>
          <w:color w:val="000000" w:themeColor="text1"/>
          <w:sz w:val="24"/>
          <w:szCs w:val="24"/>
          <w:u w:val="none"/>
        </w:rPr>
      </w:r>
    </w:p>
    <w:p>
      <w:pPr>
        <w:pStyle w:val="Normal"/>
        <w:jc w:val="center"/>
        <w:rPr/>
      </w:pPr>
      <w:r>
        <w:rPr>
          <w:rStyle w:val="InternetLink"/>
          <w:rFonts w:cs="Times New Roman"/>
          <w:color w:val="000000" w:themeColor="text1"/>
          <w:sz w:val="24"/>
          <w:szCs w:val="24"/>
          <w:u w:val="none"/>
        </w:rPr>
        <w:t>Zaključke</w:t>
      </w:r>
      <w:r>
        <w:rPr>
          <w:rStyle w:val="InternetLink"/>
          <w:color w:val="000000" w:themeColor="text1"/>
          <w:sz w:val="24"/>
          <w:szCs w:val="24"/>
          <w:u w:val="none"/>
        </w:rPr>
        <w:t xml:space="preserve"> </w:t>
      </w:r>
    </w:p>
    <w:p>
      <w:pPr>
        <w:pStyle w:val="Normal"/>
        <w:jc w:val="center"/>
        <w:rPr/>
      </w:pPr>
      <w:r>
        <w:rPr>
          <w:rStyle w:val="InternetLink"/>
          <w:color w:val="000000" w:themeColor="text1"/>
          <w:sz w:val="24"/>
          <w:szCs w:val="24"/>
          <w:u w:val="none"/>
        </w:rPr>
        <w:t xml:space="preserve">s </w:t>
      </w:r>
      <w:r>
        <w:rPr>
          <w:rStyle w:val="InternetLink"/>
          <w:color w:val="000000" w:themeColor="text1"/>
          <w:sz w:val="24"/>
          <w:szCs w:val="24"/>
          <w:u w:val="none"/>
        </w:rPr>
        <w:t>2.</w:t>
      </w:r>
      <w:r>
        <w:rPr>
          <w:rStyle w:val="InternetLink"/>
          <w:color w:val="000000" w:themeColor="text1"/>
          <w:sz w:val="24"/>
          <w:szCs w:val="24"/>
          <w:u w:val="none"/>
        </w:rPr>
        <w:t xml:space="preserve"> sjednice Školskog odbora</w:t>
      </w:r>
    </w:p>
    <w:p>
      <w:pPr>
        <w:pStyle w:val="Normal"/>
        <w:rPr>
          <w:rFonts w:ascii="Cambria" w:hAnsi="Cambria"/>
          <w:color w:val="000000" w:themeColor="text1"/>
          <w:sz w:val="24"/>
          <w:szCs w:val="24"/>
          <w:u w:val="none"/>
        </w:rPr>
      </w:pPr>
      <w:r>
        <w:rPr>
          <w:color w:val="000000" w:themeColor="text1"/>
          <w:sz w:val="24"/>
          <w:szCs w:val="24"/>
          <w:u w:val="none"/>
        </w:rPr>
      </w:r>
    </w:p>
    <w:p>
      <w:pPr>
        <w:pStyle w:val="Normal"/>
        <w:rPr/>
      </w:pPr>
      <w:r>
        <w:rPr>
          <w:rStyle w:val="InternetLink"/>
          <w:color w:val="000000" w:themeColor="text1"/>
          <w:sz w:val="24"/>
          <w:szCs w:val="24"/>
          <w:u w:val="none"/>
        </w:rPr>
        <w:t xml:space="preserve">Sjednica je održana </w:t>
      </w:r>
      <w:r>
        <w:rPr>
          <w:rStyle w:val="InternetLink"/>
          <w:color w:val="000000" w:themeColor="text1"/>
          <w:sz w:val="24"/>
          <w:szCs w:val="24"/>
          <w:u w:val="none"/>
        </w:rPr>
        <w:t>31</w:t>
      </w:r>
      <w:r>
        <w:rPr>
          <w:rStyle w:val="InternetLink"/>
          <w:color w:val="000000" w:themeColor="text1"/>
          <w:sz w:val="24"/>
          <w:szCs w:val="24"/>
          <w:u w:val="none"/>
        </w:rPr>
        <w:t xml:space="preserve">.07.2025.g. s početkom u </w:t>
      </w:r>
      <w:r>
        <w:rPr>
          <w:rStyle w:val="InternetLink"/>
          <w:color w:val="000000" w:themeColor="text1"/>
          <w:sz w:val="24"/>
          <w:szCs w:val="24"/>
          <w:u w:val="none"/>
        </w:rPr>
        <w:t>9:00</w:t>
      </w:r>
      <w:r>
        <w:rPr>
          <w:rStyle w:val="InternetLink"/>
          <w:color w:val="000000" w:themeColor="text1"/>
          <w:sz w:val="24"/>
          <w:szCs w:val="24"/>
          <w:u w:val="none"/>
        </w:rPr>
        <w:t xml:space="preserve"> sati u zbornici  Škole.</w:t>
      </w:r>
    </w:p>
    <w:p>
      <w:pPr>
        <w:pStyle w:val="Normal"/>
        <w:rPr>
          <w:rFonts w:ascii="Cambria" w:hAnsi="Cambria"/>
          <w:color w:val="000000" w:themeColor="text1"/>
          <w:sz w:val="24"/>
          <w:szCs w:val="24"/>
          <w:u w:val="none"/>
        </w:rPr>
      </w:pPr>
      <w:r>
        <w:rPr>
          <w:color w:val="000000" w:themeColor="text1"/>
          <w:sz w:val="24"/>
          <w:szCs w:val="24"/>
          <w:u w:val="none"/>
        </w:rPr>
      </w:r>
    </w:p>
    <w:p>
      <w:pPr>
        <w:pStyle w:val="Normal"/>
        <w:rPr/>
      </w:pPr>
      <w:r>
        <w:rPr/>
      </w:r>
    </w:p>
    <w:p>
      <w:pPr>
        <w:pStyle w:val="Normal"/>
        <w:rPr/>
      </w:pPr>
      <w:r>
        <w:rPr/>
        <w:t>AD.1.</w:t>
      </w:r>
    </w:p>
    <w:p>
      <w:pPr>
        <w:pStyle w:val="Normal"/>
        <w:rPr/>
      </w:pPr>
      <w:r>
        <w:rPr/>
        <w:t>Pod točkom 1. verificirani su mandati preostalih članova Školskog odbora. Preostali članovi Školskog odbora su Romana Malohodžić, Goran Cvjetinović, te Ana Prohaska Vlahinić.</w:t>
      </w:r>
    </w:p>
    <w:p>
      <w:pPr>
        <w:pStyle w:val="Normal"/>
        <w:rPr/>
      </w:pPr>
      <w:r>
        <w:rPr/>
      </w:r>
    </w:p>
    <w:p>
      <w:pPr>
        <w:pStyle w:val="Normal"/>
        <w:rPr/>
      </w:pPr>
      <w:r>
        <w:rPr/>
        <w:t>AD.2.</w:t>
      </w:r>
    </w:p>
    <w:p>
      <w:pPr>
        <w:pStyle w:val="Normal"/>
        <w:rPr/>
      </w:pPr>
      <w:r>
        <w:rPr/>
        <w:t>Pod točkom 2. izabrani su predsjednik i zamjenik predsjednika Školskog odbora. Predsjednica Školskog odbora je Sanja Dražić, a zamjenik predsjednika Miho Bošković.</w:t>
      </w:r>
    </w:p>
    <w:p>
      <w:pPr>
        <w:pStyle w:val="Normal"/>
        <w:rPr/>
      </w:pPr>
      <w:r>
        <w:rPr/>
      </w:r>
    </w:p>
    <w:p>
      <w:pPr>
        <w:pStyle w:val="Normal"/>
        <w:rPr/>
      </w:pPr>
      <w:r>
        <w:rPr/>
        <w:t>AD.3.</w:t>
      </w:r>
    </w:p>
    <w:p>
      <w:pPr>
        <w:pStyle w:val="Normal"/>
        <w:rPr/>
      </w:pPr>
      <w:r>
        <w:rPr/>
        <w:t>Pod točkom 3. usvojen je zapisnik s prethodne sjednice Školskog odbora.</w:t>
      </w:r>
    </w:p>
    <w:p>
      <w:pPr>
        <w:pStyle w:val="Normal"/>
        <w:rPr>
          <w:bCs/>
          <w:iCs/>
          <w:lang w:val="en-AU"/>
        </w:rPr>
      </w:pPr>
      <w:r>
        <w:rPr/>
      </w:r>
    </w:p>
    <w:p>
      <w:pPr>
        <w:pStyle w:val="Normal"/>
        <w:rPr>
          <w:bCs/>
          <w:iCs/>
          <w:lang w:val="en-AU"/>
        </w:rPr>
      </w:pPr>
      <w:r>
        <w:rPr>
          <w:bCs/>
          <w:iCs/>
          <w:lang w:val="en-AU"/>
        </w:rPr>
        <w:t>AD.4.</w:t>
      </w:r>
    </w:p>
    <w:p>
      <w:pPr>
        <w:pStyle w:val="Normal"/>
        <w:rPr>
          <w:lang w:val="en-AU"/>
        </w:rPr>
      </w:pPr>
      <w:r>
        <w:rPr>
          <w:lang w:val="en-AU"/>
        </w:rPr>
        <w:t>Pod točkom 4. nakon izlaganja voditeljice računovodstva, Viktorije Ćorak, jednoglasno je donesena odloka o usvajanju I. rebalansa financijskog plana za 2025. godinu.</w:t>
      </w:r>
    </w:p>
    <w:p>
      <w:pPr>
        <w:pStyle w:val="Normal"/>
        <w:rPr>
          <w:lang w:val="en-AU"/>
        </w:rPr>
      </w:pPr>
      <w:r>
        <w:rPr>
          <w:lang w:val="en-AU"/>
        </w:rPr>
      </w:r>
    </w:p>
    <w:p>
      <w:pPr>
        <w:pStyle w:val="Normal"/>
        <w:rPr>
          <w:bCs/>
          <w:iCs/>
          <w:lang w:val="en-AU"/>
        </w:rPr>
      </w:pPr>
      <w:r>
        <w:rPr>
          <w:bCs/>
          <w:iCs/>
          <w:lang w:val="en-AU"/>
        </w:rPr>
        <w:t>AD.5.</w:t>
      </w:r>
    </w:p>
    <w:p>
      <w:pPr>
        <w:pStyle w:val="Normal"/>
        <w:rPr>
          <w:lang w:val="en-AU"/>
        </w:rPr>
      </w:pPr>
      <w:r>
        <w:rPr>
          <w:lang w:val="en-AU"/>
        </w:rPr>
        <w:t>Pod točkom 5. nakon izlaganja voditeljice računovodstva, Viktorije Ćorak, jednoglasno je donesena odluka o usvajanju polugodišnjeg financijskog izvješća</w:t>
      </w:r>
    </w:p>
    <w:p>
      <w:pPr>
        <w:pStyle w:val="Normal"/>
        <w:rPr>
          <w:lang w:val="en-AU"/>
        </w:rPr>
      </w:pPr>
      <w:r>
        <w:rPr>
          <w:lang w:val="en-AU"/>
        </w:rPr>
      </w:r>
    </w:p>
    <w:p>
      <w:pPr>
        <w:pStyle w:val="Normal"/>
        <w:rPr>
          <w:lang w:val="en-AU"/>
        </w:rPr>
      </w:pPr>
      <w:r>
        <w:rPr>
          <w:lang w:val="en-AU"/>
        </w:rPr>
      </w:r>
    </w:p>
    <w:p>
      <w:pPr>
        <w:pStyle w:val="Normal"/>
        <w:rPr>
          <w:bCs/>
          <w:iCs/>
          <w:lang w:val="en-AU"/>
        </w:rPr>
      </w:pPr>
      <w:r>
        <w:rPr>
          <w:bCs/>
          <w:iCs/>
          <w:lang w:val="en-AU"/>
        </w:rPr>
        <w:t>AD.6.</w:t>
      </w:r>
    </w:p>
    <w:p>
      <w:pPr>
        <w:pStyle w:val="Normal"/>
        <w:rPr>
          <w:lang w:val="en-AU"/>
        </w:rPr>
      </w:pPr>
      <w:r>
        <w:rPr>
          <w:lang w:val="en-AU"/>
        </w:rPr>
        <w:t>Pod točkom 6. nakon izlaganja voditeljice računovodstva, Viktorije Ćorak, jednoglasno je donesena odluka o usvajanju polugodišnjeg izvršenja financijskog plana.</w:t>
      </w:r>
    </w:p>
    <w:p>
      <w:pPr>
        <w:pStyle w:val="Normal"/>
        <w:rPr>
          <w:lang w:val="en-AU"/>
        </w:rPr>
      </w:pPr>
      <w:r>
        <w:rPr>
          <w:lang w:val="en-AU"/>
        </w:rPr>
      </w:r>
    </w:p>
    <w:p>
      <w:pPr>
        <w:pStyle w:val="Normal"/>
        <w:rPr>
          <w:bCs/>
          <w:iCs/>
          <w:lang w:val="en-AU"/>
        </w:rPr>
      </w:pPr>
      <w:r>
        <w:rPr/>
      </w:r>
    </w:p>
    <w:p>
      <w:pPr>
        <w:pStyle w:val="Normal"/>
        <w:rPr>
          <w:bCs/>
          <w:iCs/>
          <w:lang w:val="en-AU"/>
        </w:rPr>
      </w:pPr>
      <w:r>
        <w:rPr>
          <w:bCs/>
          <w:iCs/>
          <w:lang w:val="en-AU"/>
        </w:rPr>
        <w:t>AD.7.</w:t>
      </w:r>
      <w:bookmarkStart w:id="0" w:name="_GoBack"/>
      <w:bookmarkEnd w:id="0"/>
    </w:p>
    <w:p>
      <w:pPr>
        <w:pStyle w:val="Normal"/>
        <w:rPr>
          <w:lang w:val="en-AU"/>
        </w:rPr>
      </w:pPr>
      <w:r>
        <w:rPr>
          <w:lang w:val="en-AU"/>
        </w:rPr>
        <w:t>Pod točkom 7. dnevnog reda nakon izlaganja ravnatelja škole, Darija Čaglja, Školski odbor jednoglasno donosi Plan sigurnosti, te Procjenu postojećeg stanja i analizu rizika Umjetničke škole Luke Sorkočevića Dubrovnik.</w:t>
      </w:r>
    </w:p>
    <w:p>
      <w:pPr>
        <w:pStyle w:val="Normal"/>
        <w:rPr>
          <w:lang w:val="en-AU"/>
        </w:rPr>
      </w:pPr>
      <w:r>
        <w:rPr>
          <w:lang w:val="en-AU"/>
        </w:rPr>
      </w:r>
    </w:p>
    <w:p>
      <w:pPr>
        <w:pStyle w:val="Normal"/>
        <w:rPr/>
      </w:pPr>
      <w:r>
        <w:rPr/>
        <w:t>A.D.8.</w:t>
      </w:r>
    </w:p>
    <w:p>
      <w:pPr>
        <w:pStyle w:val="Normal"/>
        <w:rPr/>
      </w:pPr>
      <w:r>
        <w:rPr/>
      </w:r>
    </w:p>
    <w:p>
      <w:pPr>
        <w:pStyle w:val="Normal"/>
        <w:rPr>
          <w:lang w:val="hr-HR"/>
        </w:rPr>
      </w:pPr>
      <w:r>
        <w:rPr/>
        <w:t>Pod točkom razno</w:t>
      </w:r>
      <w:r>
        <w:rPr>
          <w:lang w:val="hr-HR"/>
        </w:rPr>
        <w:t xml:space="preserve"> Stijepo Medo je upoznao prisutne kako su se roditelji učenika slikarskog odjela na predmetu web dizajn žalili kako da informatička oprema nije adekvatna, te kako bi školu trebalo opremiti boljom opremom odgovarajućom za nastavu.</w:t>
      </w:r>
    </w:p>
    <w:p>
      <w:pPr>
        <w:pStyle w:val="Normal"/>
        <w:rPr>
          <w:lang w:val="hr-HR"/>
        </w:rPr>
      </w:pPr>
      <w:r>
        <w:rPr>
          <w:lang w:val="hr-HR"/>
        </w:rPr>
        <w:t>Ravnatelj je rekao kako je on upoznat sa situacijom, te kako je već o tome kontaktirano ministarstvo, te da će kontaktirati i osnivača. Ukoliko ne bude pozitivnih odgovora s njihove strane, odnosno spremnosti za sufinanciranje potrebne opreme, programa za rad, Škola će iste sama financirati iz vlastitih sredstava.</w:t>
      </w:r>
    </w:p>
    <w:p>
      <w:pPr>
        <w:pStyle w:val="Normal"/>
        <w:rPr>
          <w:lang w:val="hr-HR"/>
        </w:rPr>
      </w:pPr>
      <w:r>
        <w:rPr>
          <w:lang w:val="hr-HR"/>
        </w:rPr>
        <w:t>Stjepo Medo također dodaje da se ponovo angažira zaštitarska firma, dok se ne zaposli djelatnik od strane ministarstva sukladno Planu sigurnosti.</w:t>
      </w:r>
    </w:p>
    <w:p>
      <w:pPr>
        <w:pStyle w:val="Normal"/>
        <w:rPr>
          <w:lang w:val="hr-HR"/>
        </w:rPr>
      </w:pPr>
      <w:r>
        <w:rPr>
          <w:lang w:val="hr-HR"/>
        </w:rPr>
        <w:t>Članovi Školskog odbora nisu suglasni da gledalište i scenografija DLJI ostanu u krugu Škole, te su DLJI dužne sve iznijeti sukladno ugovoru.</w:t>
      </w:r>
    </w:p>
    <w:p>
      <w:pPr>
        <w:pStyle w:val="Normal"/>
        <w:rPr>
          <w:lang w:val="hr-HR"/>
        </w:rPr>
      </w:pPr>
      <w:r>
        <w:rPr>
          <w:lang w:val="hr-HR"/>
        </w:rPr>
        <w:t>Predsjednica Sanja Dražić sugerira da se smanji broj ugovora o djelu koliko je moguće u idućoj školskoj godini.</w:t>
      </w:r>
    </w:p>
    <w:p>
      <w:pPr>
        <w:pStyle w:val="Normal"/>
        <w:rPr>
          <w:lang w:val="hr-HR"/>
        </w:rPr>
      </w:pPr>
      <w:r>
        <w:rPr>
          <w:lang w:val="hr-HR"/>
        </w:rPr>
        <w:t>Miho Bošković napominje kako bi ubuduće trebalo smanjiti broj komornih sastava koje škola šalje na natjecanja, kako bi samo najbolji trebali ići na razini škole, jer ima previše izostanaka s nastave.</w:t>
      </w:r>
    </w:p>
    <w:p>
      <w:pPr>
        <w:pStyle w:val="Normal"/>
        <w:rPr>
          <w:lang w:val="hr-HR"/>
        </w:rPr>
      </w:pPr>
      <w:r>
        <w:rPr>
          <w:lang w:val="hr-HR"/>
        </w:rPr>
        <w:t>Ravnatelj je pročitao upit za seminar klavirista koji bi se trebao održati u Školi od 19. do 24. kolovoza 2025., koji bi naplatili 1.500,00 eura, te je  Školski odbor tojednoglasno prihvatio.</w:t>
      </w:r>
    </w:p>
    <w:p>
      <w:pPr>
        <w:pStyle w:val="Normal"/>
        <w:rPr>
          <w:lang w:val="hr-HR"/>
        </w:rPr>
      </w:pPr>
      <w:r>
        <w:rPr>
          <w:rStyle w:val="InternetLink"/>
          <w:rFonts w:ascii="Calibri" w:hAnsi="Calibri"/>
          <w:b w:val="false"/>
          <w:bCs w:val="false"/>
          <w:i w:val="false"/>
          <w:iCs w:val="false"/>
          <w:color w:val="000000" w:themeColor="text1"/>
          <w:sz w:val="24"/>
          <w:szCs w:val="24"/>
          <w:u w:val="none"/>
          <w:lang w:val="hr-HR"/>
        </w:rPr>
        <w:t>Tea Prkačin je su sugerirala češće sastanka pročelnika odjela radi boljeg funkcioniranja odjela.</w:t>
      </w:r>
      <w:bookmarkStart w:id="1" w:name="_GoBack1"/>
      <w:bookmarkEnd w:id="1"/>
    </w:p>
    <w:p>
      <w:pPr>
        <w:pStyle w:val="Normal"/>
        <w:rPr>
          <w:rFonts w:ascii="Cambria" w:hAnsi="Cambria"/>
          <w:color w:val="000000" w:themeColor="text1"/>
          <w:sz w:val="24"/>
          <w:szCs w:val="24"/>
          <w:u w:val="none"/>
        </w:rPr>
      </w:pPr>
      <w:r>
        <w:rPr>
          <w:color w:val="000000" w:themeColor="text1"/>
          <w:sz w:val="24"/>
          <w:szCs w:val="24"/>
          <w:u w:val="none"/>
        </w:rPr>
      </w:r>
    </w:p>
    <w:p>
      <w:pPr>
        <w:pStyle w:val="Normal"/>
        <w:rPr>
          <w:rFonts w:ascii="Cambria" w:hAnsi="Cambria"/>
          <w:color w:val="000000" w:themeColor="text1"/>
          <w:sz w:val="24"/>
          <w:szCs w:val="24"/>
          <w:u w:val="none"/>
        </w:rPr>
      </w:pPr>
      <w:r>
        <w:rPr>
          <w:color w:val="000000" w:themeColor="text1"/>
          <w:sz w:val="24"/>
          <w:szCs w:val="24"/>
          <w:u w:val="none"/>
        </w:rPr>
      </w:r>
    </w:p>
    <w:p>
      <w:pPr>
        <w:pStyle w:val="Normal"/>
        <w:rPr/>
      </w:pPr>
      <w:r>
        <w:rPr>
          <w:rStyle w:val="InternetLink"/>
          <w:color w:val="000000" w:themeColor="text1"/>
          <w:sz w:val="24"/>
          <w:szCs w:val="24"/>
          <w:u w:val="none"/>
        </w:rPr>
        <w:t>Objaviti: internetska stranica Škole</w:t>
      </w:r>
    </w:p>
    <w:sectPr>
      <w:headerReference w:type="default" r:id="rId6"/>
      <w:footerReference w:type="default" r:id="rId7"/>
      <w:type w:val="nextPage"/>
      <w:pgSz w:w="11906" w:h="16838"/>
      <w:pgMar w:left="1800" w:right="1800" w:gutter="0" w:header="708"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Normal"/>
      <w:jc w:val="center"/>
      <w:rPr>
        <w:sz w:val="20"/>
        <w:szCs w:val="20"/>
      </w:rPr>
    </w:pPr>
    <w:r>
      <w:rPr>
        <w:sz w:val="20"/>
        <w:szCs w:val="20"/>
      </w:rPr>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 xml:space="preserv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paragraph" w:styleId="Heading2">
    <w:name w:val="Heading 2"/>
    <w:basedOn w:val="Normal"/>
    <w:next w:val="Normal"/>
    <w:link w:val="Naslov2Char"/>
    <w:uiPriority w:val="9"/>
    <w:semiHidden/>
    <w:unhideWhenUsed/>
    <w:qFormat/>
    <w:rsid w:val="00f250d9"/>
    <w:pPr>
      <w:keepNext w:val="true"/>
      <w:keepLines/>
      <w:spacing w:before="40" w:after="0"/>
      <w:outlineLvl w:val="1"/>
    </w:pPr>
    <w:rPr>
      <w:rFonts w:ascii="Calibri" w:hAnsi="Calibri" w:eastAsia="ＭＳ ゴシック"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unhideWhenUsed/>
    <w:qFormat/>
    <w:rPr/>
  </w:style>
  <w:style w:type="character" w:styleId="ZaglavljeChar" w:customStyle="1">
    <w:name w:val="Zaglavlje Char"/>
    <w:basedOn w:val="DefaultParagraphFont"/>
    <w:link w:val="Zaglavlje"/>
    <w:uiPriority w:val="99"/>
    <w:qFormat/>
    <w:rsid w:val="009053d6"/>
    <w:rPr/>
  </w:style>
  <w:style w:type="character" w:styleId="PodnojeChar" w:customStyle="1">
    <w:name w:val="Podnožje Char"/>
    <w:basedOn w:val="DefaultParagraphFont"/>
    <w:link w:val="Podnoje"/>
    <w:uiPriority w:val="99"/>
    <w:qFormat/>
    <w:rsid w:val="009053d6"/>
    <w:rPr/>
  </w:style>
  <w:style w:type="character" w:styleId="InternetLink">
    <w:name w:val="Hyperlink"/>
    <w:basedOn w:val="DefaultParagraphFont"/>
    <w:uiPriority w:val="99"/>
    <w:unhideWhenUsed/>
    <w:rsid w:val="00ba346e"/>
    <w:rPr>
      <w:color w:val="0000FF" w:themeColor="hyperlink"/>
      <w:u w:val="single"/>
    </w:rPr>
  </w:style>
  <w:style w:type="character" w:styleId="TekstbaloniaChar" w:customStyle="1">
    <w:name w:val="Tekst balončića Char"/>
    <w:basedOn w:val="DefaultParagraphFont"/>
    <w:link w:val="Tekstbalonia"/>
    <w:uiPriority w:val="99"/>
    <w:semiHidden/>
    <w:qFormat/>
    <w:rsid w:val="0040466b"/>
    <w:rPr>
      <w:rFonts w:ascii="Tahoma" w:hAnsi="Tahoma" w:cs="Tahoma"/>
      <w:sz w:val="16"/>
      <w:szCs w:val="16"/>
    </w:rPr>
  </w:style>
  <w:style w:type="character" w:styleId="Naslov2Char" w:customStyle="1">
    <w:name w:val="Naslov 2 Char"/>
    <w:basedOn w:val="DefaultParagraphFont"/>
    <w:link w:val="Naslov2"/>
    <w:uiPriority w:val="9"/>
    <w:semiHidden/>
    <w:qFormat/>
    <w:rsid w:val="00f250d9"/>
    <w:rPr>
      <w:rFonts w:ascii="Calibri" w:hAnsi="Calibri" w:eastAsia="ＭＳ ゴシック" w:cs="" w:asciiTheme="majorHAnsi" w:cstheme="majorBidi" w:eastAsiaTheme="majorEastAsia" w:hAnsiTheme="majorHAnsi"/>
      <w:color w:val="365F91" w:themeColor="accent1" w:themeShade="bf"/>
      <w:sz w:val="26"/>
      <w:szCs w:val="2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rPr/>
  </w:style>
  <w:style w:type="paragraph" w:styleId="Header">
    <w:name w:val="Header"/>
    <w:basedOn w:val="Normal"/>
    <w:link w:val="ZaglavljeChar"/>
    <w:uiPriority w:val="99"/>
    <w:unhideWhenUsed/>
    <w:rsid w:val="009053d6"/>
    <w:pPr>
      <w:tabs>
        <w:tab w:val="clear" w:pos="720"/>
        <w:tab w:val="center" w:pos="4153" w:leader="none"/>
        <w:tab w:val="right" w:pos="8306" w:leader="none"/>
      </w:tabs>
    </w:pPr>
    <w:rPr/>
  </w:style>
  <w:style w:type="paragraph" w:styleId="Footer">
    <w:name w:val="Footer"/>
    <w:basedOn w:val="Normal"/>
    <w:link w:val="PodnojeChar"/>
    <w:uiPriority w:val="99"/>
    <w:unhideWhenUsed/>
    <w:rsid w:val="009053d6"/>
    <w:pPr>
      <w:tabs>
        <w:tab w:val="clear" w:pos="720"/>
        <w:tab w:val="center" w:pos="4153" w:leader="none"/>
        <w:tab w:val="right" w:pos="8306" w:leader="none"/>
      </w:tabs>
    </w:pPr>
    <w:rPr/>
  </w:style>
  <w:style w:type="paragraph" w:styleId="BalloonText">
    <w:name w:val="Balloon Text"/>
    <w:basedOn w:val="Normal"/>
    <w:link w:val="TekstbaloniaChar"/>
    <w:uiPriority w:val="99"/>
    <w:semiHidden/>
    <w:unhideWhenUsed/>
    <w:qFormat/>
    <w:rsid w:val="0040466b"/>
    <w:pPr/>
    <w:rPr>
      <w:rFonts w:ascii="Tahoma" w:hAnsi="Tahoma" w:cs="Tahoma"/>
      <w:sz w:val="16"/>
      <w:szCs w:val="16"/>
    </w:rPr>
  </w:style>
  <w:style w:type="paragraph" w:styleId="ListParagraph">
    <w:name w:val="List Paragraph"/>
    <w:basedOn w:val="Normal"/>
    <w:uiPriority w:val="34"/>
    <w:qFormat/>
    <w:rsid w:val="00fa6bb2"/>
    <w:pPr>
      <w:spacing w:before="0" w:after="0"/>
      <w:ind w:left="720" w:hanging="0"/>
      <w:contextualSpacing/>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umjetnicka.skola.luke.sorkocevica@du.t-com.hr" TargetMode="External"/><Relationship Id="rId5" Type="http://schemas.openxmlformats.org/officeDocument/2006/relationships/hyperlink" Target="http://www.usls.hr/"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LibreOffice/7.2.5.2$Windows_X86_64 LibreOffice_project/499f9727c189e6ef3471021d6132d4c694f357e5</Application>
  <AppVersion>15.0000</AppVersion>
  <Pages>2</Pages>
  <Words>434</Words>
  <Characters>2653</Characters>
  <CharactersWithSpaces>3290</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2025-05-02T10:34:00Z</dcterms:created>
  <dc:creator>Marina Brčić</dc:creator>
  <dc:description/>
  <dc:language>hr-HR</dc:language>
  <cp:lastModifiedBy/>
  <cp:lastPrinted>2025-04-03T08:35:00Z</cp:lastPrinted>
  <dcterms:modified xsi:type="dcterms:W3CDTF">2025-07-31T11:17:30Z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